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355BB" w14:textId="77777777" w:rsidR="00153A34" w:rsidRPr="00153A34" w:rsidRDefault="00153A34" w:rsidP="00153A34">
      <w:pPr>
        <w:spacing w:after="120"/>
        <w:rPr>
          <w:b/>
        </w:rPr>
      </w:pPr>
      <w:r w:rsidRPr="00153A34">
        <w:rPr>
          <w:b/>
        </w:rPr>
        <w:t xml:space="preserve">Thames healthcare providers prepare for </w:t>
      </w:r>
      <w:proofErr w:type="gramStart"/>
      <w:r w:rsidRPr="00153A34">
        <w:rPr>
          <w:b/>
        </w:rPr>
        <w:t>Summer</w:t>
      </w:r>
      <w:proofErr w:type="gramEnd"/>
      <w:r w:rsidRPr="00153A34">
        <w:rPr>
          <w:b/>
        </w:rPr>
        <w:t xml:space="preserve"> rush</w:t>
      </w:r>
    </w:p>
    <w:p w14:paraId="0F77AE18" w14:textId="5BA32B9B" w:rsidR="00CB123F" w:rsidRDefault="00CB123F" w:rsidP="00153A34">
      <w:pPr>
        <w:spacing w:after="120"/>
        <w:rPr>
          <w:bCs/>
        </w:rPr>
      </w:pPr>
      <w:r>
        <w:rPr>
          <w:bCs/>
        </w:rPr>
        <w:t xml:space="preserve">With the summer holidays just around the corner, </w:t>
      </w:r>
      <w:r w:rsidRPr="00CB123F">
        <w:rPr>
          <w:bCs/>
        </w:rPr>
        <w:t xml:space="preserve">Waikato </w:t>
      </w:r>
      <w:r w:rsidR="00827FAE">
        <w:rPr>
          <w:bCs/>
        </w:rPr>
        <w:t xml:space="preserve">DHB </w:t>
      </w:r>
      <w:r>
        <w:rPr>
          <w:bCs/>
        </w:rPr>
        <w:t>is preparing for a surge in visitors to the Coromandel Peninsula.</w:t>
      </w:r>
    </w:p>
    <w:p w14:paraId="7D5E7ED2" w14:textId="2E2B622B" w:rsidR="00CB123F" w:rsidRDefault="00802D11" w:rsidP="00153A34">
      <w:pPr>
        <w:spacing w:after="120"/>
        <w:rPr>
          <w:bCs/>
        </w:rPr>
      </w:pPr>
      <w:r>
        <w:rPr>
          <w:bCs/>
        </w:rPr>
        <w:t>Waikato DHB</w:t>
      </w:r>
      <w:r w:rsidR="00CB123F">
        <w:rPr>
          <w:bCs/>
        </w:rPr>
        <w:t xml:space="preserve"> is teaming up with</w:t>
      </w:r>
      <w:r w:rsidR="00871B21">
        <w:rPr>
          <w:bCs/>
        </w:rPr>
        <w:t xml:space="preserve"> iwi primary care provider</w:t>
      </w:r>
      <w:r w:rsidR="00756BA4">
        <w:rPr>
          <w:bCs/>
        </w:rPr>
        <w:t xml:space="preserve"> Te Korowai Hauo</w:t>
      </w:r>
      <w:r w:rsidR="00CB123F">
        <w:rPr>
          <w:bCs/>
        </w:rPr>
        <w:t xml:space="preserve">ra o Hauraki to provide </w:t>
      </w:r>
      <w:r w:rsidR="00827FAE">
        <w:rPr>
          <w:bCs/>
        </w:rPr>
        <w:t xml:space="preserve">a summer clinic, offering healthcare to </w:t>
      </w:r>
      <w:r w:rsidR="00871B21">
        <w:rPr>
          <w:bCs/>
        </w:rPr>
        <w:t>all</w:t>
      </w:r>
      <w:r w:rsidR="00CB123F">
        <w:rPr>
          <w:bCs/>
        </w:rPr>
        <w:t xml:space="preserve"> those who need it</w:t>
      </w:r>
      <w:r w:rsidR="00827FAE">
        <w:rPr>
          <w:bCs/>
        </w:rPr>
        <w:t>.</w:t>
      </w:r>
    </w:p>
    <w:p w14:paraId="2AFE263D" w14:textId="2107A9A2" w:rsidR="00827FAE" w:rsidRDefault="00756BA4" w:rsidP="00153A34">
      <w:pPr>
        <w:spacing w:after="120"/>
        <w:rPr>
          <w:bCs/>
        </w:rPr>
      </w:pPr>
      <w:r>
        <w:rPr>
          <w:bCs/>
        </w:rPr>
        <w:t xml:space="preserve">The clinic will be based at Thames Hospital </w:t>
      </w:r>
      <w:r w:rsidR="008B334D">
        <w:rPr>
          <w:bCs/>
        </w:rPr>
        <w:t>from</w:t>
      </w:r>
      <w:r w:rsidR="00871B21">
        <w:rPr>
          <w:bCs/>
        </w:rPr>
        <w:t xml:space="preserve"> Monday</w:t>
      </w:r>
      <w:r>
        <w:rPr>
          <w:bCs/>
        </w:rPr>
        <w:t xml:space="preserve"> 14</w:t>
      </w:r>
      <w:r w:rsidR="00871B21">
        <w:rPr>
          <w:bCs/>
        </w:rPr>
        <w:t xml:space="preserve"> December (excluding w</w:t>
      </w:r>
      <w:r>
        <w:rPr>
          <w:bCs/>
        </w:rPr>
        <w:t>eekends and statutory holidays)</w:t>
      </w:r>
      <w:r w:rsidR="00827FAE">
        <w:rPr>
          <w:bCs/>
        </w:rPr>
        <w:t xml:space="preserve"> with</w:t>
      </w:r>
      <w:r w:rsidR="00871B21">
        <w:rPr>
          <w:bCs/>
        </w:rPr>
        <w:t xml:space="preserve"> </w:t>
      </w:r>
      <w:r w:rsidR="000D68C4">
        <w:rPr>
          <w:bCs/>
        </w:rPr>
        <w:t xml:space="preserve">Te Korowai Hauora o Hauraki </w:t>
      </w:r>
      <w:r w:rsidR="00871B21">
        <w:rPr>
          <w:bCs/>
        </w:rPr>
        <w:t>providing</w:t>
      </w:r>
      <w:r w:rsidR="00827FAE">
        <w:rPr>
          <w:bCs/>
        </w:rPr>
        <w:t xml:space="preserve"> non-urgent </w:t>
      </w:r>
      <w:r w:rsidR="00871B21">
        <w:rPr>
          <w:bCs/>
        </w:rPr>
        <w:t>services</w:t>
      </w:r>
      <w:r w:rsidR="000D68C4">
        <w:rPr>
          <w:bCs/>
        </w:rPr>
        <w:t xml:space="preserve"> Monday to Friday</w:t>
      </w:r>
      <w:r w:rsidR="00871B21">
        <w:rPr>
          <w:bCs/>
        </w:rPr>
        <w:t xml:space="preserve"> between 8am and 4.30pm.</w:t>
      </w:r>
      <w:r w:rsidR="000D68C4">
        <w:rPr>
          <w:bCs/>
        </w:rPr>
        <w:t xml:space="preserve"> </w:t>
      </w:r>
      <w:r w:rsidR="00827FAE">
        <w:rPr>
          <w:bCs/>
        </w:rPr>
        <w:t xml:space="preserve">No appointment </w:t>
      </w:r>
      <w:r w:rsidR="00354224">
        <w:rPr>
          <w:bCs/>
        </w:rPr>
        <w:t xml:space="preserve">or enrolment </w:t>
      </w:r>
      <w:r w:rsidR="00827FAE">
        <w:rPr>
          <w:bCs/>
        </w:rPr>
        <w:t>is</w:t>
      </w:r>
      <w:r w:rsidR="00354224">
        <w:rPr>
          <w:bCs/>
        </w:rPr>
        <w:t xml:space="preserve"> needed</w:t>
      </w:r>
      <w:r w:rsidR="00827FAE">
        <w:rPr>
          <w:bCs/>
        </w:rPr>
        <w:t xml:space="preserve">. </w:t>
      </w:r>
    </w:p>
    <w:p w14:paraId="0E971C40" w14:textId="1ACF19A2" w:rsidR="000D68C4" w:rsidRDefault="000D68C4" w:rsidP="00153A34">
      <w:pPr>
        <w:spacing w:after="120"/>
        <w:rPr>
          <w:bCs/>
        </w:rPr>
      </w:pPr>
      <w:r>
        <w:rPr>
          <w:bCs/>
        </w:rPr>
        <w:t xml:space="preserve">Thames Medical Centre will also continue to provide </w:t>
      </w:r>
      <w:r w:rsidR="00827FAE">
        <w:rPr>
          <w:bCs/>
        </w:rPr>
        <w:t xml:space="preserve">a </w:t>
      </w:r>
      <w:r>
        <w:rPr>
          <w:bCs/>
        </w:rPr>
        <w:t xml:space="preserve">Saturday emergency General Practice clinic at Thames Hospital ED from 9am to 3pm.  </w:t>
      </w:r>
    </w:p>
    <w:p w14:paraId="2E222AF7" w14:textId="487FBF76" w:rsidR="00756BA4" w:rsidRDefault="00301265" w:rsidP="00153A34">
      <w:pPr>
        <w:spacing w:after="120"/>
        <w:rPr>
          <w:bCs/>
        </w:rPr>
      </w:pPr>
      <w:r>
        <w:rPr>
          <w:bCs/>
        </w:rPr>
        <w:t>All five</w:t>
      </w:r>
      <w:r w:rsidR="001E7C83">
        <w:rPr>
          <w:bCs/>
        </w:rPr>
        <w:t xml:space="preserve"> Te Korowai Hauora o Hauraki</w:t>
      </w:r>
      <w:r>
        <w:rPr>
          <w:bCs/>
        </w:rPr>
        <w:t xml:space="preserve"> General Practice</w:t>
      </w:r>
      <w:r w:rsidR="00756BA4">
        <w:rPr>
          <w:bCs/>
        </w:rPr>
        <w:t xml:space="preserve"> clinics</w:t>
      </w:r>
      <w:r w:rsidR="000D68C4">
        <w:rPr>
          <w:bCs/>
        </w:rPr>
        <w:t xml:space="preserve"> and Thames Medical Centre</w:t>
      </w:r>
      <w:r w:rsidR="00756BA4">
        <w:rPr>
          <w:bCs/>
        </w:rPr>
        <w:t xml:space="preserve"> will also remain open except for weekends and public holidays for casual and enrolled patients.</w:t>
      </w:r>
    </w:p>
    <w:p w14:paraId="238099F4" w14:textId="0F042C0F" w:rsidR="00871B21" w:rsidRDefault="00871B21" w:rsidP="00153A34">
      <w:pPr>
        <w:spacing w:after="120"/>
        <w:rPr>
          <w:bCs/>
        </w:rPr>
      </w:pPr>
      <w:r>
        <w:rPr>
          <w:bCs/>
        </w:rPr>
        <w:t xml:space="preserve">Thames Hospital Emergency Department will </w:t>
      </w:r>
      <w:r w:rsidR="00DE4025">
        <w:rPr>
          <w:bCs/>
        </w:rPr>
        <w:t>continue to operate</w:t>
      </w:r>
      <w:r>
        <w:rPr>
          <w:bCs/>
        </w:rPr>
        <w:t xml:space="preserve"> 24/7 for emergency care. </w:t>
      </w:r>
    </w:p>
    <w:p w14:paraId="179EEE66" w14:textId="0FCFAFC2" w:rsidR="002C6597" w:rsidRDefault="002C6597" w:rsidP="00153A34">
      <w:pPr>
        <w:spacing w:after="120"/>
        <w:rPr>
          <w:bCs/>
        </w:rPr>
      </w:pPr>
      <w:r>
        <w:rPr>
          <w:bCs/>
        </w:rPr>
        <w:t>Any patient with COVID-19 symptoms or</w:t>
      </w:r>
      <w:r w:rsidR="001E7C83">
        <w:rPr>
          <w:bCs/>
        </w:rPr>
        <w:t xml:space="preserve"> who</w:t>
      </w:r>
      <w:r>
        <w:rPr>
          <w:bCs/>
        </w:rPr>
        <w:t xml:space="preserve"> </w:t>
      </w:r>
      <w:r w:rsidR="00301265">
        <w:rPr>
          <w:bCs/>
        </w:rPr>
        <w:t>requires</w:t>
      </w:r>
      <w:r>
        <w:rPr>
          <w:bCs/>
        </w:rPr>
        <w:t xml:space="preserve"> a test should</w:t>
      </w:r>
      <w:r w:rsidR="008B334D">
        <w:rPr>
          <w:bCs/>
        </w:rPr>
        <w:t xml:space="preserve"> free</w:t>
      </w:r>
      <w:r>
        <w:rPr>
          <w:bCs/>
        </w:rPr>
        <w:t xml:space="preserve"> call</w:t>
      </w:r>
      <w:r w:rsidR="00E209D8">
        <w:rPr>
          <w:bCs/>
        </w:rPr>
        <w:t xml:space="preserve"> </w:t>
      </w:r>
      <w:proofErr w:type="spellStart"/>
      <w:r w:rsidR="00E209D8" w:rsidRPr="00E209D8">
        <w:rPr>
          <w:bCs/>
        </w:rPr>
        <w:t>Healthline</w:t>
      </w:r>
      <w:proofErr w:type="spellEnd"/>
      <w:r w:rsidR="00E209D8" w:rsidRPr="00E209D8">
        <w:rPr>
          <w:bCs/>
        </w:rPr>
        <w:t xml:space="preserve"> on 0800 358 5453</w:t>
      </w:r>
      <w:r w:rsidR="00301265">
        <w:rPr>
          <w:bCs/>
        </w:rPr>
        <w:t xml:space="preserve"> or</w:t>
      </w:r>
      <w:r w:rsidR="001E7C83">
        <w:rPr>
          <w:bCs/>
        </w:rPr>
        <w:t xml:space="preserve"> Te Korowai Hauora o Hauraki on</w:t>
      </w:r>
      <w:r>
        <w:rPr>
          <w:bCs/>
        </w:rPr>
        <w:t xml:space="preserve"> 0508 </w:t>
      </w:r>
      <w:r w:rsidR="00301265">
        <w:rPr>
          <w:bCs/>
        </w:rPr>
        <w:t>835 676</w:t>
      </w:r>
      <w:r>
        <w:rPr>
          <w:bCs/>
        </w:rPr>
        <w:t xml:space="preserve"> first.</w:t>
      </w:r>
    </w:p>
    <w:p w14:paraId="472C80D7" w14:textId="77777777" w:rsidR="00871B21" w:rsidRDefault="00871B21" w:rsidP="00153A34">
      <w:pPr>
        <w:spacing w:after="120"/>
        <w:rPr>
          <w:bCs/>
        </w:rPr>
      </w:pPr>
      <w:r>
        <w:rPr>
          <w:bCs/>
        </w:rPr>
        <w:t>We're proud to work with our partners to help keep our community and visitors safe over the summer period.</w:t>
      </w:r>
    </w:p>
    <w:p w14:paraId="084B98D3" w14:textId="1653AEEA" w:rsidR="00827FAE" w:rsidRDefault="00827FAE" w:rsidP="00827FAE">
      <w:pPr>
        <w:rPr>
          <w:bCs/>
        </w:rPr>
      </w:pPr>
      <w:r>
        <w:rPr>
          <w:bCs/>
        </w:rPr>
        <w:t>Charges may apply for the summer clinic:</w:t>
      </w:r>
      <w:bookmarkStart w:id="0" w:name="_GoBack"/>
      <w:bookmarkEnd w:id="0"/>
    </w:p>
    <w:p w14:paraId="236A0666" w14:textId="35844428" w:rsidR="00A22BE8" w:rsidRDefault="00A22BE8" w:rsidP="00827FAE">
      <w:pPr>
        <w:rPr>
          <w:bCs/>
        </w:rPr>
      </w:pPr>
    </w:p>
    <w:tbl>
      <w:tblPr>
        <w:tblStyle w:val="TableGrid"/>
        <w:tblW w:w="0" w:type="auto"/>
        <w:tblLook w:val="04A0" w:firstRow="1" w:lastRow="0" w:firstColumn="1" w:lastColumn="0" w:noHBand="0" w:noVBand="1"/>
      </w:tblPr>
      <w:tblGrid>
        <w:gridCol w:w="4531"/>
        <w:gridCol w:w="1479"/>
        <w:gridCol w:w="1215"/>
      </w:tblGrid>
      <w:tr w:rsidR="00A22BE8" w14:paraId="58719431" w14:textId="77777777" w:rsidTr="00A22BE8">
        <w:trPr>
          <w:trHeight w:val="333"/>
        </w:trPr>
        <w:tc>
          <w:tcPr>
            <w:tcW w:w="4531" w:type="dxa"/>
          </w:tcPr>
          <w:p w14:paraId="00F28A40" w14:textId="1A232840" w:rsidR="00A22BE8" w:rsidRPr="00A22BE8" w:rsidRDefault="00A22BE8" w:rsidP="00827FAE">
            <w:pPr>
              <w:rPr>
                <w:b/>
                <w:bCs/>
              </w:rPr>
            </w:pPr>
            <w:r w:rsidRPr="00A22BE8">
              <w:rPr>
                <w:b/>
                <w:bCs/>
              </w:rPr>
              <w:t>Te Korowai Hauora o Hauraki enrolled patients</w:t>
            </w:r>
          </w:p>
        </w:tc>
        <w:tc>
          <w:tcPr>
            <w:tcW w:w="1479" w:type="dxa"/>
          </w:tcPr>
          <w:p w14:paraId="73AE635B" w14:textId="6A976412" w:rsidR="00A22BE8" w:rsidRPr="00A22BE8" w:rsidRDefault="00A22BE8" w:rsidP="00827FAE">
            <w:pPr>
              <w:rPr>
                <w:b/>
                <w:bCs/>
              </w:rPr>
            </w:pPr>
            <w:r w:rsidRPr="00A22BE8">
              <w:rPr>
                <w:b/>
                <w:bCs/>
              </w:rPr>
              <w:t>Age</w:t>
            </w:r>
          </w:p>
        </w:tc>
        <w:tc>
          <w:tcPr>
            <w:tcW w:w="1215" w:type="dxa"/>
          </w:tcPr>
          <w:p w14:paraId="04269D6A" w14:textId="613348CE" w:rsidR="00A22BE8" w:rsidRPr="00A22BE8" w:rsidRDefault="00A22BE8" w:rsidP="00827FAE">
            <w:pPr>
              <w:rPr>
                <w:b/>
                <w:bCs/>
              </w:rPr>
            </w:pPr>
            <w:r w:rsidRPr="00A22BE8">
              <w:rPr>
                <w:b/>
                <w:bCs/>
              </w:rPr>
              <w:t>Price</w:t>
            </w:r>
          </w:p>
        </w:tc>
      </w:tr>
      <w:tr w:rsidR="00A22BE8" w14:paraId="4F15594C" w14:textId="77777777" w:rsidTr="00A22BE8">
        <w:tc>
          <w:tcPr>
            <w:tcW w:w="4531" w:type="dxa"/>
          </w:tcPr>
          <w:p w14:paraId="184F0DD8" w14:textId="77777777" w:rsidR="00A22BE8" w:rsidRDefault="00A22BE8" w:rsidP="00827FAE">
            <w:pPr>
              <w:rPr>
                <w:bCs/>
              </w:rPr>
            </w:pPr>
          </w:p>
        </w:tc>
        <w:tc>
          <w:tcPr>
            <w:tcW w:w="1479" w:type="dxa"/>
          </w:tcPr>
          <w:p w14:paraId="2BD2DC7B" w14:textId="6F8310D1" w:rsidR="00A22BE8" w:rsidRDefault="00A22BE8" w:rsidP="00827FAE">
            <w:pPr>
              <w:rPr>
                <w:bCs/>
              </w:rPr>
            </w:pPr>
            <w:r>
              <w:rPr>
                <w:bCs/>
              </w:rPr>
              <w:t>Under 18</w:t>
            </w:r>
          </w:p>
        </w:tc>
        <w:tc>
          <w:tcPr>
            <w:tcW w:w="1215" w:type="dxa"/>
          </w:tcPr>
          <w:p w14:paraId="53611953" w14:textId="4E5304F9" w:rsidR="00A22BE8" w:rsidRDefault="00A22BE8" w:rsidP="00827FAE">
            <w:pPr>
              <w:rPr>
                <w:bCs/>
              </w:rPr>
            </w:pPr>
            <w:r>
              <w:rPr>
                <w:bCs/>
              </w:rPr>
              <w:t>No charge</w:t>
            </w:r>
          </w:p>
        </w:tc>
      </w:tr>
      <w:tr w:rsidR="00A22BE8" w14:paraId="00FF297D" w14:textId="77777777" w:rsidTr="00A22BE8">
        <w:tc>
          <w:tcPr>
            <w:tcW w:w="4531" w:type="dxa"/>
          </w:tcPr>
          <w:p w14:paraId="010F91C7" w14:textId="77777777" w:rsidR="00A22BE8" w:rsidRDefault="00A22BE8" w:rsidP="00827FAE">
            <w:pPr>
              <w:rPr>
                <w:bCs/>
              </w:rPr>
            </w:pPr>
          </w:p>
        </w:tc>
        <w:tc>
          <w:tcPr>
            <w:tcW w:w="1479" w:type="dxa"/>
          </w:tcPr>
          <w:p w14:paraId="4D58389D" w14:textId="68FAC4C3" w:rsidR="00A22BE8" w:rsidRDefault="00A22BE8" w:rsidP="00827FAE">
            <w:pPr>
              <w:rPr>
                <w:bCs/>
              </w:rPr>
            </w:pPr>
            <w:r>
              <w:rPr>
                <w:bCs/>
              </w:rPr>
              <w:t>18-65</w:t>
            </w:r>
          </w:p>
        </w:tc>
        <w:tc>
          <w:tcPr>
            <w:tcW w:w="1215" w:type="dxa"/>
          </w:tcPr>
          <w:p w14:paraId="4C80B727" w14:textId="6390F819" w:rsidR="00A22BE8" w:rsidRDefault="00A22BE8" w:rsidP="00827FAE">
            <w:pPr>
              <w:rPr>
                <w:bCs/>
              </w:rPr>
            </w:pPr>
            <w:r>
              <w:rPr>
                <w:bCs/>
              </w:rPr>
              <w:t>$18</w:t>
            </w:r>
          </w:p>
        </w:tc>
      </w:tr>
      <w:tr w:rsidR="00A22BE8" w14:paraId="37341D34" w14:textId="77777777" w:rsidTr="00A22BE8">
        <w:tc>
          <w:tcPr>
            <w:tcW w:w="4531" w:type="dxa"/>
          </w:tcPr>
          <w:p w14:paraId="57E75D7A" w14:textId="77777777" w:rsidR="00A22BE8" w:rsidRDefault="00A22BE8" w:rsidP="00827FAE">
            <w:pPr>
              <w:rPr>
                <w:bCs/>
              </w:rPr>
            </w:pPr>
          </w:p>
        </w:tc>
        <w:tc>
          <w:tcPr>
            <w:tcW w:w="1479" w:type="dxa"/>
          </w:tcPr>
          <w:p w14:paraId="61F9EC95" w14:textId="5944523A" w:rsidR="00A22BE8" w:rsidRDefault="00A22BE8" w:rsidP="00827FAE">
            <w:pPr>
              <w:rPr>
                <w:bCs/>
              </w:rPr>
            </w:pPr>
            <w:r>
              <w:rPr>
                <w:bCs/>
              </w:rPr>
              <w:t>Over 65</w:t>
            </w:r>
          </w:p>
        </w:tc>
        <w:tc>
          <w:tcPr>
            <w:tcW w:w="1215" w:type="dxa"/>
          </w:tcPr>
          <w:p w14:paraId="4BF5FE93" w14:textId="6A5704F1" w:rsidR="00A22BE8" w:rsidRDefault="00A22BE8" w:rsidP="00827FAE">
            <w:pPr>
              <w:rPr>
                <w:bCs/>
              </w:rPr>
            </w:pPr>
            <w:r>
              <w:rPr>
                <w:bCs/>
              </w:rPr>
              <w:t>$12</w:t>
            </w:r>
          </w:p>
        </w:tc>
      </w:tr>
      <w:tr w:rsidR="00A22BE8" w14:paraId="0C418F06" w14:textId="77777777" w:rsidTr="00A22BE8">
        <w:tc>
          <w:tcPr>
            <w:tcW w:w="4531" w:type="dxa"/>
            <w:shd w:val="clear" w:color="auto" w:fill="000000" w:themeFill="text1"/>
          </w:tcPr>
          <w:p w14:paraId="65511886" w14:textId="77777777" w:rsidR="00A22BE8" w:rsidRPr="00A22BE8" w:rsidRDefault="00A22BE8" w:rsidP="00827FAE">
            <w:pPr>
              <w:rPr>
                <w:bCs/>
              </w:rPr>
            </w:pPr>
          </w:p>
        </w:tc>
        <w:tc>
          <w:tcPr>
            <w:tcW w:w="1479" w:type="dxa"/>
            <w:shd w:val="clear" w:color="auto" w:fill="000000" w:themeFill="text1"/>
          </w:tcPr>
          <w:p w14:paraId="7326B534" w14:textId="77777777" w:rsidR="00A22BE8" w:rsidRPr="00A22BE8" w:rsidRDefault="00A22BE8" w:rsidP="00827FAE">
            <w:pPr>
              <w:rPr>
                <w:bCs/>
              </w:rPr>
            </w:pPr>
          </w:p>
        </w:tc>
        <w:tc>
          <w:tcPr>
            <w:tcW w:w="1215" w:type="dxa"/>
            <w:shd w:val="clear" w:color="auto" w:fill="000000" w:themeFill="text1"/>
          </w:tcPr>
          <w:p w14:paraId="2F0274A4" w14:textId="77777777" w:rsidR="00A22BE8" w:rsidRPr="00A22BE8" w:rsidRDefault="00A22BE8" w:rsidP="00827FAE">
            <w:pPr>
              <w:rPr>
                <w:bCs/>
              </w:rPr>
            </w:pPr>
          </w:p>
        </w:tc>
      </w:tr>
      <w:tr w:rsidR="00A22BE8" w14:paraId="7660FEA4" w14:textId="77777777" w:rsidTr="00A22BE8">
        <w:tc>
          <w:tcPr>
            <w:tcW w:w="4531" w:type="dxa"/>
          </w:tcPr>
          <w:p w14:paraId="4C6438C2" w14:textId="239BD306" w:rsidR="00A22BE8" w:rsidRPr="00A22BE8" w:rsidRDefault="00A22BE8" w:rsidP="00827FAE">
            <w:pPr>
              <w:rPr>
                <w:b/>
                <w:bCs/>
              </w:rPr>
            </w:pPr>
            <w:r w:rsidRPr="00A22BE8">
              <w:rPr>
                <w:b/>
                <w:bCs/>
              </w:rPr>
              <w:t>Casual patients</w:t>
            </w:r>
          </w:p>
        </w:tc>
        <w:tc>
          <w:tcPr>
            <w:tcW w:w="1479" w:type="dxa"/>
          </w:tcPr>
          <w:p w14:paraId="3BE24225" w14:textId="399CB276" w:rsidR="00A22BE8" w:rsidRDefault="00A22BE8" w:rsidP="00827FAE">
            <w:pPr>
              <w:rPr>
                <w:bCs/>
              </w:rPr>
            </w:pPr>
            <w:r>
              <w:rPr>
                <w:bCs/>
              </w:rPr>
              <w:t>Under 18</w:t>
            </w:r>
          </w:p>
        </w:tc>
        <w:tc>
          <w:tcPr>
            <w:tcW w:w="1215" w:type="dxa"/>
          </w:tcPr>
          <w:p w14:paraId="72104CD8" w14:textId="068076FE" w:rsidR="00A22BE8" w:rsidRDefault="00A22BE8" w:rsidP="00827FAE">
            <w:pPr>
              <w:rPr>
                <w:bCs/>
              </w:rPr>
            </w:pPr>
            <w:r>
              <w:rPr>
                <w:bCs/>
              </w:rPr>
              <w:t>$20</w:t>
            </w:r>
          </w:p>
        </w:tc>
      </w:tr>
      <w:tr w:rsidR="00A22BE8" w14:paraId="4CCB0F3A" w14:textId="77777777" w:rsidTr="00A22BE8">
        <w:tc>
          <w:tcPr>
            <w:tcW w:w="4531" w:type="dxa"/>
          </w:tcPr>
          <w:p w14:paraId="738E53E4" w14:textId="77777777" w:rsidR="00A22BE8" w:rsidRDefault="00A22BE8" w:rsidP="00827FAE">
            <w:pPr>
              <w:rPr>
                <w:bCs/>
              </w:rPr>
            </w:pPr>
          </w:p>
        </w:tc>
        <w:tc>
          <w:tcPr>
            <w:tcW w:w="1479" w:type="dxa"/>
          </w:tcPr>
          <w:p w14:paraId="36354704" w14:textId="76F117F7" w:rsidR="00A22BE8" w:rsidRDefault="00A22BE8" w:rsidP="00827FAE">
            <w:pPr>
              <w:rPr>
                <w:bCs/>
              </w:rPr>
            </w:pPr>
            <w:r>
              <w:rPr>
                <w:bCs/>
              </w:rPr>
              <w:t>18 and over</w:t>
            </w:r>
          </w:p>
        </w:tc>
        <w:tc>
          <w:tcPr>
            <w:tcW w:w="1215" w:type="dxa"/>
          </w:tcPr>
          <w:p w14:paraId="34F24197" w14:textId="083F2532" w:rsidR="00A22BE8" w:rsidRDefault="00A22BE8" w:rsidP="00827FAE">
            <w:pPr>
              <w:rPr>
                <w:bCs/>
              </w:rPr>
            </w:pPr>
            <w:r>
              <w:rPr>
                <w:bCs/>
              </w:rPr>
              <w:t>$40</w:t>
            </w:r>
          </w:p>
        </w:tc>
      </w:tr>
    </w:tbl>
    <w:p w14:paraId="3F4DFCD2" w14:textId="7982960C" w:rsidR="00827FAE" w:rsidRDefault="00827FAE" w:rsidP="00CB123F">
      <w:pPr>
        <w:rPr>
          <w:b/>
          <w:bCs/>
        </w:rPr>
      </w:pPr>
    </w:p>
    <w:p w14:paraId="570C2746" w14:textId="77777777" w:rsidR="00827FAE" w:rsidRDefault="00827FAE" w:rsidP="00CB123F">
      <w:pPr>
        <w:rPr>
          <w:b/>
          <w:bCs/>
        </w:rPr>
      </w:pPr>
    </w:p>
    <w:p w14:paraId="2F8D8EFC" w14:textId="77777777" w:rsidR="00CB123F" w:rsidRDefault="00B86F01" w:rsidP="00CB123F">
      <w:r>
        <w:rPr>
          <w:b/>
          <w:bCs/>
        </w:rPr>
        <w:t>Notes:</w:t>
      </w:r>
    </w:p>
    <w:p w14:paraId="64B33735" w14:textId="77777777" w:rsidR="00CB123F" w:rsidRDefault="00CB123F" w:rsidP="00CB123F">
      <w:r>
        <w:t> </w:t>
      </w:r>
    </w:p>
    <w:p w14:paraId="4A59C80A" w14:textId="37A79999" w:rsidR="00CB123F" w:rsidRDefault="00CB123F" w:rsidP="00B86F01">
      <w:pPr>
        <w:pStyle w:val="ListParagraph"/>
        <w:numPr>
          <w:ilvl w:val="0"/>
          <w:numId w:val="2"/>
        </w:numPr>
      </w:pPr>
      <w:r>
        <w:t xml:space="preserve">Te Korowai Hauora o Hauraki is a rural </w:t>
      </w:r>
      <w:r w:rsidR="00827FAE">
        <w:t>i</w:t>
      </w:r>
      <w:r>
        <w:t xml:space="preserve">wi-based, not-for profit, incorporated society providing health and wellness services across the region. Their services include doctor and nurse clinics, prevention, early detection, treatment and management, education, wellness care, mental health services, </w:t>
      </w:r>
      <w:proofErr w:type="spellStart"/>
      <w:r>
        <w:t>whānau</w:t>
      </w:r>
      <w:proofErr w:type="spellEnd"/>
      <w:r>
        <w:t xml:space="preserve"> support, health promotion and public health services  </w:t>
      </w:r>
      <w:hyperlink r:id="rId5" w:history="1">
        <w:r>
          <w:rPr>
            <w:rStyle w:val="Hyperlink"/>
          </w:rPr>
          <w:t>https://www.korowai.co.nz/</w:t>
        </w:r>
      </w:hyperlink>
    </w:p>
    <w:p w14:paraId="715C1507" w14:textId="77777777" w:rsidR="00CB123F" w:rsidRDefault="00CB123F" w:rsidP="00B86F01">
      <w:pPr>
        <w:ind w:firstLine="45"/>
      </w:pPr>
    </w:p>
    <w:p w14:paraId="749F8EDF" w14:textId="77777777" w:rsidR="00CB123F" w:rsidRDefault="00CB123F" w:rsidP="00B86F01">
      <w:pPr>
        <w:pStyle w:val="ListParagraph"/>
        <w:numPr>
          <w:ilvl w:val="0"/>
          <w:numId w:val="2"/>
        </w:numPr>
      </w:pPr>
      <w:r>
        <w:t>Thames Medical Centre provides a wide variety of general medical services as well as specialised nurse-lead services locally. The service offers an Emergency GP Clinic every Saturday throughout the year and some Public Holidays from 10am-4pm at Thames Hospital  </w:t>
      </w:r>
      <w:hyperlink r:id="rId6" w:history="1">
        <w:r>
          <w:rPr>
            <w:rStyle w:val="Hyperlink"/>
          </w:rPr>
          <w:t>http://www.thamesmed.co.nz/</w:t>
        </w:r>
      </w:hyperlink>
    </w:p>
    <w:p w14:paraId="2838FF6B" w14:textId="66C8C3CB" w:rsidR="00E022A3" w:rsidRDefault="00E022A3" w:rsidP="00E022A3"/>
    <w:p w14:paraId="3F0C1EE9" w14:textId="33F21399" w:rsidR="00DE4025" w:rsidRPr="00E022A3" w:rsidRDefault="00DE4025" w:rsidP="00E022A3">
      <w:r>
        <w:t>ENDS</w:t>
      </w:r>
    </w:p>
    <w:sectPr w:rsidR="00DE4025" w:rsidRPr="00E0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1E24"/>
    <w:multiLevelType w:val="hybridMultilevel"/>
    <w:tmpl w:val="E9B67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FD2FE2"/>
    <w:multiLevelType w:val="hybridMultilevel"/>
    <w:tmpl w:val="73C81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F"/>
    <w:rsid w:val="00013D72"/>
    <w:rsid w:val="000D68C4"/>
    <w:rsid w:val="000F0569"/>
    <w:rsid w:val="00153A34"/>
    <w:rsid w:val="00193B85"/>
    <w:rsid w:val="001E7C83"/>
    <w:rsid w:val="00240EAA"/>
    <w:rsid w:val="0025124B"/>
    <w:rsid w:val="002A0D1F"/>
    <w:rsid w:val="002C6597"/>
    <w:rsid w:val="00301265"/>
    <w:rsid w:val="00354224"/>
    <w:rsid w:val="003633F1"/>
    <w:rsid w:val="003B68D7"/>
    <w:rsid w:val="004A2957"/>
    <w:rsid w:val="00606E91"/>
    <w:rsid w:val="007237B4"/>
    <w:rsid w:val="00724AD9"/>
    <w:rsid w:val="00756BA4"/>
    <w:rsid w:val="00762D2B"/>
    <w:rsid w:val="00802D11"/>
    <w:rsid w:val="008167F5"/>
    <w:rsid w:val="00827FAE"/>
    <w:rsid w:val="00871B21"/>
    <w:rsid w:val="008B334D"/>
    <w:rsid w:val="00997B1B"/>
    <w:rsid w:val="00A000D7"/>
    <w:rsid w:val="00A22BE8"/>
    <w:rsid w:val="00A44B7E"/>
    <w:rsid w:val="00A76C83"/>
    <w:rsid w:val="00A951C4"/>
    <w:rsid w:val="00AC1064"/>
    <w:rsid w:val="00B86F01"/>
    <w:rsid w:val="00BF0482"/>
    <w:rsid w:val="00CA3AC9"/>
    <w:rsid w:val="00CB123F"/>
    <w:rsid w:val="00DC7B7F"/>
    <w:rsid w:val="00DE4025"/>
    <w:rsid w:val="00E022A3"/>
    <w:rsid w:val="00E209D8"/>
    <w:rsid w:val="00EB617C"/>
    <w:rsid w:val="00EE3EFA"/>
    <w:rsid w:val="00FF6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E"/>
  <w15:chartTrackingRefBased/>
  <w15:docId w15:val="{30F12767-B86B-40B7-BDC1-E0E6FD6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3F"/>
    <w:pPr>
      <w:spacing w:after="0" w:line="240" w:lineRule="auto"/>
    </w:pPr>
    <w:rPr>
      <w:rFonts w:ascii="Calibri" w:hAnsi="Calibri" w:cs="Calibri"/>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CB123F"/>
    <w:rPr>
      <w:color w:val="0563C1"/>
      <w:u w:val="single"/>
    </w:rPr>
  </w:style>
  <w:style w:type="paragraph" w:styleId="ListParagraph">
    <w:name w:val="List Paragraph"/>
    <w:basedOn w:val="Normal"/>
    <w:uiPriority w:val="34"/>
    <w:qFormat/>
    <w:rsid w:val="00871B21"/>
    <w:pPr>
      <w:ind w:left="720"/>
      <w:contextualSpacing/>
    </w:pPr>
  </w:style>
  <w:style w:type="paragraph" w:styleId="BalloonText">
    <w:name w:val="Balloon Text"/>
    <w:basedOn w:val="Normal"/>
    <w:link w:val="BalloonTextChar"/>
    <w:uiPriority w:val="99"/>
    <w:semiHidden/>
    <w:unhideWhenUsed/>
    <w:rsid w:val="00FF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4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7FAE"/>
    <w:rPr>
      <w:sz w:val="16"/>
      <w:szCs w:val="16"/>
    </w:rPr>
  </w:style>
  <w:style w:type="paragraph" w:styleId="CommentText">
    <w:name w:val="annotation text"/>
    <w:basedOn w:val="Normal"/>
    <w:link w:val="CommentTextChar"/>
    <w:uiPriority w:val="99"/>
    <w:semiHidden/>
    <w:unhideWhenUsed/>
    <w:rsid w:val="00827FAE"/>
    <w:rPr>
      <w:sz w:val="20"/>
      <w:szCs w:val="20"/>
    </w:rPr>
  </w:style>
  <w:style w:type="character" w:customStyle="1" w:styleId="CommentTextChar">
    <w:name w:val="Comment Text Char"/>
    <w:basedOn w:val="DefaultParagraphFont"/>
    <w:link w:val="CommentText"/>
    <w:uiPriority w:val="99"/>
    <w:semiHidden/>
    <w:rsid w:val="00827FAE"/>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27FAE"/>
    <w:rPr>
      <w:b/>
      <w:bCs/>
    </w:rPr>
  </w:style>
  <w:style w:type="character" w:customStyle="1" w:styleId="CommentSubjectChar">
    <w:name w:val="Comment Subject Char"/>
    <w:basedOn w:val="CommentTextChar"/>
    <w:link w:val="CommentSubject"/>
    <w:uiPriority w:val="99"/>
    <w:semiHidden/>
    <w:rsid w:val="00827FAE"/>
    <w:rPr>
      <w:rFonts w:ascii="Calibri" w:hAnsi="Calibri" w:cs="Calibri"/>
      <w:b/>
      <w:bCs/>
      <w:sz w:val="20"/>
      <w:szCs w:val="20"/>
      <w:lang w:eastAsia="en-US"/>
    </w:rPr>
  </w:style>
  <w:style w:type="table" w:styleId="TableGrid">
    <w:name w:val="Table Grid"/>
    <w:basedOn w:val="TableNormal"/>
    <w:uiPriority w:val="59"/>
    <w:rsid w:val="00A2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mesmed.co.nz/" TargetMode="External"/><Relationship Id="rId5" Type="http://schemas.openxmlformats.org/officeDocument/2006/relationships/hyperlink" Target="https://www.korowai.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Wong</dc:creator>
  <cp:keywords/>
  <dc:description/>
  <cp:lastModifiedBy>Simon Wong</cp:lastModifiedBy>
  <cp:revision>2</cp:revision>
  <cp:lastPrinted>2020-12-03T20:01:00Z</cp:lastPrinted>
  <dcterms:created xsi:type="dcterms:W3CDTF">2020-12-10T03:28:00Z</dcterms:created>
  <dcterms:modified xsi:type="dcterms:W3CDTF">2020-12-10T03:28:00Z</dcterms:modified>
</cp:coreProperties>
</file>